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11" w:rsidRPr="00B61AEE" w:rsidRDefault="00AB4F11" w:rsidP="00AB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 esta Comisión 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Permanente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Electoral del H. Consejo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(de Escuela o de Centro)</w:t>
      </w:r>
      <w:r w:rsidRPr="00B61AEE">
        <w:rPr>
          <w:rFonts w:ascii="Arial" w:eastAsia="Times New Roman" w:hAnsi="Arial" w:cs="Arial"/>
          <w:b/>
          <w:bCs/>
          <w:color w:val="FF0000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 </w:t>
      </w:r>
      <w:r w:rsidRPr="00B61AEE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según sea el caso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---- con fecha -- de ------------- de 2021, fue turnado el escrito signado por el </w:t>
      </w: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------------------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(académico o alumno)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adscrito a la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---------------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mediante el cual interpone </w:t>
      </w:r>
      <w:r w:rsidR="00867F5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Recurso D</w:t>
      </w:r>
      <w:r w:rsidR="00867F58"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 Revisión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  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(en contra de los actos </w:t>
      </w:r>
      <w:r w:rsidRPr="00867F58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de la Comisión del Centro/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de la Subcomisión Auxiliar respectiva / resultados de la jornada - según sea el caso),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conformidad con los siguientes: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867F58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ANTECEDENTES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Default="00867F58" w:rsidP="00AB4F1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proofErr w:type="gramStart"/>
      <w:r w:rsidR="00AB4F11"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</w:t>
      </w:r>
      <w:proofErr w:type="gramEnd"/>
      <w:r w:rsidR="00AB4F11"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con fecha del 23 de agosto de 2021, tanto en las unidades académicas como en La Gaceta de la Universidad de Guadalajara, se publicó la convocatoria emitida por esta Comisión </w:t>
      </w:r>
      <w:r w:rsidR="00AB4F11"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Permanente </w:t>
      </w:r>
      <w:r w:rsidR="00AB4F11"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Electoral </w:t>
      </w:r>
      <w:r w:rsidR="00AB4F11"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</w:t>
      </w:r>
      <w:r w:rsidR="00AB4F11"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para el periodo 2021-2022.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en cuanto a los recursos en materia electoral la convocatoria aludida establece en su punto 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00FFFF"/>
          <w:lang w:eastAsia="es-MX"/>
        </w:rPr>
        <w:t>12</w:t>
      </w:r>
      <w:r w:rsidRPr="00B61AEE">
        <w:rPr>
          <w:rFonts w:ascii="Arial" w:eastAsia="Times New Roman" w:hAnsi="Arial" w:cs="Arial"/>
          <w:color w:val="BF9000"/>
          <w:sz w:val="18"/>
          <w:szCs w:val="18"/>
          <w:shd w:val="clear" w:color="auto" w:fill="00FFFF"/>
          <w:lang w:eastAsia="es-MX"/>
        </w:rPr>
        <w:t>.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00FFFF"/>
          <w:lang w:eastAsia="es-MX"/>
        </w:rPr>
        <w:t>1 fracción III</w:t>
      </w:r>
      <w:r w:rsidRPr="00B61AEE">
        <w:rPr>
          <w:rFonts w:ascii="Arial" w:eastAsia="Times New Roman" w:hAnsi="Arial" w:cs="Arial"/>
          <w:color w:val="6AA84F"/>
          <w:sz w:val="18"/>
          <w:szCs w:val="18"/>
          <w:shd w:val="clear" w:color="auto" w:fill="00FFFF"/>
          <w:lang w:eastAsia="es-MX"/>
        </w:rPr>
        <w:t>,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lo correspondiente al RECURSO DE REVISIÓN, señalando lo siguiente: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867F58" w:rsidP="00AB4F11">
      <w:pPr>
        <w:spacing w:after="0" w:line="240" w:lineRule="auto"/>
        <w:ind w:left="1416" w:right="333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>“</w:t>
      </w:r>
      <w:r w:rsidR="00AB4F11" w:rsidRPr="00B61AE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>III.</w:t>
      </w:r>
      <w:r w:rsidR="00AB4F11" w:rsidRPr="00B61AEE">
        <w:rPr>
          <w:rFonts w:ascii="Arial" w:eastAsia="Times New Roman" w:hAnsi="Arial" w:cs="Arial"/>
          <w:i/>
          <w:iCs/>
          <w:color w:val="000000"/>
          <w:sz w:val="16"/>
          <w:szCs w:val="16"/>
          <w:lang w:eastAsia="es-MX"/>
        </w:rPr>
        <w:t xml:space="preserve"> </w:t>
      </w:r>
      <w:r w:rsidR="00AB4F11" w:rsidRPr="00B61AE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>RECURSO DE REVISIÓN</w:t>
      </w:r>
      <w:r w:rsidR="00AB4F11" w:rsidRPr="00B61AEE">
        <w:rPr>
          <w:rFonts w:ascii="Arial" w:eastAsia="Times New Roman" w:hAnsi="Arial" w:cs="Arial"/>
          <w:i/>
          <w:iCs/>
          <w:color w:val="000000"/>
          <w:sz w:val="16"/>
          <w:szCs w:val="16"/>
          <w:lang w:eastAsia="es-MX"/>
        </w:rPr>
        <w:t xml:space="preserve">, </w:t>
      </w:r>
      <w:r w:rsidR="00AB4F11" w:rsidRPr="00B61AE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 xml:space="preserve">tratándose de actos de la Comisión Electoral del </w:t>
      </w:r>
      <w:r w:rsidR="00AB4F11" w:rsidRPr="00867F5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>Consejo de</w:t>
      </w:r>
      <w:r w:rsidR="00AB4F11" w:rsidRPr="00B61AE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 xml:space="preserve"> Centro, o Subcomisión Auxiliar de Escuela</w:t>
      </w:r>
      <w:r w:rsidR="00AB4F11" w:rsidRPr="00867F5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 xml:space="preserve">/SEMS o </w:t>
      </w:r>
      <w:r w:rsidR="00AB4F11" w:rsidRPr="00B61AE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MX"/>
        </w:rPr>
        <w:t>de los resultados de la jornada electoral</w:t>
      </w:r>
      <w:r w:rsidR="00AB4F11" w:rsidRPr="00B61AEE">
        <w:rPr>
          <w:rFonts w:ascii="Arial" w:eastAsia="Times New Roman" w:hAnsi="Arial" w:cs="Arial"/>
          <w:i/>
          <w:iCs/>
          <w:color w:val="000000"/>
          <w:sz w:val="16"/>
          <w:szCs w:val="16"/>
          <w:lang w:eastAsia="es-MX"/>
        </w:rPr>
        <w:t>, el cual deberá presentarse a más tardar 1 (un) día hábil posterior a la realización del acto materia de su inconformidad.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es-MX"/>
        </w:rPr>
        <w:t>”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de conformidad con lo establecido en el punto 9 de la convocatoria, el --- de septiembre de 2021, se (debe llevar a cabo/ llevó a cabo) en (Escuela/Centro Universitario) la jornada electoral correspondiente a la elección de consejeros alumnos/académicos para el Consejo de ---.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Que (Señalar el acto que dio origen a la inconformidad (por ejemplo, publicación de resultados de la elección), señalando condiciones de modo, tiempo y lugar---).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00FFFF"/>
          <w:lang w:eastAsia="es-MX"/>
        </w:rPr>
        <w:t>Que de conformidad con lo establecido en el punto _____</w:t>
      </w:r>
      <w:proofErr w:type="gramStart"/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00FFFF"/>
          <w:lang w:eastAsia="es-MX"/>
        </w:rPr>
        <w:t>_  de</w:t>
      </w:r>
      <w:proofErr w:type="gramEnd"/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00FFFF"/>
          <w:lang w:eastAsia="es-MX"/>
        </w:rPr>
        <w:t xml:space="preserve"> la convocatoria, la Comisión Electoral (de Escuela o de Centro) tiene su sede en ____________________________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a las </w:t>
      </w:r>
      <w:proofErr w:type="gramStart"/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--:--</w:t>
      </w:r>
      <w:proofErr w:type="gramEnd"/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horas del -- de 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----------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proofErr w:type="spellStart"/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</w:t>
      </w:r>
      <w:proofErr w:type="spellEnd"/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2021, el </w:t>
      </w: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----------------------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(académico o alumno)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adscrito a la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Preparatoria/ Centro Universitario)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</w:t>
      </w: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eastAsia="es-MX"/>
        </w:rPr>
        <w:t>-----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presentó ante esta Comisión del Consejo de 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--------,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el RECURSO DE REVISIÓN, según lo previsto por el punto 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00FFFF"/>
          <w:lang w:eastAsia="es-MX"/>
        </w:rPr>
        <w:t>12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--- de la convocatoria referida, en el que señala como acto materia de la inconformidad lo siguiente: 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00"/>
          <w:lang w:eastAsia="es-MX"/>
        </w:rPr>
        <w:t>(Transcripción de hechos, agravios o concepto de inconformidad)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61AEE">
        <w:rPr>
          <w:rFonts w:ascii="Times New Roman" w:eastAsia="Times New Roman" w:hAnsi="Times New Roman" w:cs="Times New Roman"/>
          <w:color w:val="FF0000"/>
          <w:sz w:val="14"/>
          <w:szCs w:val="14"/>
          <w:lang w:eastAsia="es-MX"/>
        </w:rPr>
        <w:t>  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presentó como, 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pruebas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# </w:t>
      </w:r>
      <w:r w:rsidRPr="00B61AEE">
        <w:rPr>
          <w:rFonts w:ascii="Arial" w:eastAsia="Times New Roman" w:hAnsi="Arial" w:cs="Arial"/>
          <w:color w:val="180DF1"/>
          <w:sz w:val="18"/>
          <w:szCs w:val="18"/>
          <w:lang w:eastAsia="es-MX"/>
        </w:rPr>
        <w:t xml:space="preserve">(número con letra) 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se describen a continuación: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867F58">
      <w:pPr>
        <w:numPr>
          <w:ilvl w:val="0"/>
          <w:numId w:val="2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FF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 xml:space="preserve">Describir cada </w:t>
      </w:r>
      <w:r w:rsidRPr="00867F58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una de las pruebas</w:t>
      </w:r>
      <w:r w:rsidRPr="00B61AEE">
        <w:rPr>
          <w:rFonts w:ascii="Arial" w:eastAsia="Times New Roman" w:hAnsi="Arial" w:cs="Arial"/>
          <w:color w:val="FF0000"/>
          <w:sz w:val="18"/>
          <w:szCs w:val="18"/>
          <w:shd w:val="clear" w:color="auto" w:fill="FFFF00"/>
          <w:lang w:eastAsia="es-MX"/>
        </w:rPr>
        <w:t xml:space="preserve"> </w:t>
      </w:r>
      <w:r w:rsidRPr="00B61AEE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que se adjuntan con el recurso</w:t>
      </w:r>
    </w:p>
    <w:p w:rsidR="00AB4F11" w:rsidRPr="00B61AEE" w:rsidRDefault="00AB4F11" w:rsidP="00867F58">
      <w:pPr>
        <w:numPr>
          <w:ilvl w:val="0"/>
          <w:numId w:val="2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B4F11" w:rsidRPr="00B61AEE" w:rsidRDefault="00AB4F11" w:rsidP="00867F58">
      <w:pPr>
        <w:numPr>
          <w:ilvl w:val="0"/>
          <w:numId w:val="2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B4F11" w:rsidRPr="00B61AEE" w:rsidRDefault="00AB4F11" w:rsidP="00867F58">
      <w:pPr>
        <w:numPr>
          <w:ilvl w:val="0"/>
          <w:numId w:val="2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B4F11" w:rsidRPr="00B61AEE" w:rsidRDefault="00AB4F11" w:rsidP="00867F58">
      <w:pPr>
        <w:numPr>
          <w:ilvl w:val="0"/>
          <w:numId w:val="2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867F58" w:rsidRDefault="00AB4F11" w:rsidP="00867F5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Por lo anteriormente expuesto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esta Comisión Permanente Electoral procede a emitir la resolución respectiva, considerando los siguientes: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867F58" w:rsidRDefault="00867F58" w:rsidP="00AB4F1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867F5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FUNDAMENTOS JURÍDICOS</w:t>
      </w:r>
    </w:p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Default="00AB4F11" w:rsidP="00AB4F11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El Estatuto Orgánico del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(Centro Universitario o Sistema de Educación Media Superior)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FFF00"/>
          <w:lang w:eastAsia="es-MX"/>
        </w:rPr>
        <w:t>según sea el caso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establece que es facultad de esta Comisión resolver las inconformidades que se presenten en contra de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(los actos de la Comisión Electoral del Centro/ Subcomisión Auxiliar respectiva / resultados de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lastRenderedPageBreak/>
        <w:t>la jornada)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------ </w:t>
      </w:r>
      <w:r w:rsidRPr="00B61AE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según sea el caso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---- de conformidad con las atribuciones conferidas en los artículos --- del Estatuto ---  y las demás contempladas en la normatividad universitaria, aquellas que le asigne el H. Consejo General Universitario y las que les correspondan de acuerdo a su naturaleza.</w:t>
      </w:r>
    </w:p>
    <w:p w:rsidR="00867F58" w:rsidRDefault="00867F58" w:rsidP="00867F58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867F58" w:rsidRDefault="00AB4F11" w:rsidP="00867F58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esta Comisión Permanente Electoral (CUEMS/CGU según sea el caso), de conformidad con lo establecido en el punto 12 de la convocatoria para elegir a los consejeros que integrarán el H. </w:t>
      </w:r>
      <w:r w:rsidRPr="00867F58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Consejo ---------- 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de la Universidad de Guadalajara, para el periodo 2021-2022, es competencia de esta Comisión, resolver el </w:t>
      </w:r>
      <w:r w:rsidR="00A824C7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Recurso d</w:t>
      </w:r>
      <w:r w:rsidR="00867F58" w:rsidRPr="00867F5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e Revisión</w:t>
      </w:r>
      <w:r w:rsidR="00867F58"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presentado por el </w:t>
      </w:r>
      <w:r w:rsidRPr="00867F5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----------------------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867F58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(académico o alumno) </w:t>
      </w: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adscrito a la </w:t>
      </w:r>
      <w:r w:rsidRPr="00867F58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867F58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867F58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------</w:t>
      </w:r>
      <w:r w:rsidRPr="00867F58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867F58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según sea el caso</w:t>
      </w:r>
      <w:r w:rsidRPr="00867F58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----.</w:t>
      </w:r>
    </w:p>
    <w:p w:rsidR="00867F58" w:rsidRPr="00867F58" w:rsidRDefault="00867F58" w:rsidP="00867F58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Default="00AB4F11" w:rsidP="00867F58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proofErr w:type="gramStart"/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</w:t>
      </w:r>
      <w:proofErr w:type="gramEnd"/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en la convocatoria antes aludida, en el punto 14, relacionado a las atribuciones de la Comisión Electoral, señala:</w:t>
      </w:r>
    </w:p>
    <w:p w:rsidR="00867F58" w:rsidRPr="00867F58" w:rsidRDefault="00867F58" w:rsidP="00867F58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Default="00867F58" w:rsidP="00867F58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“</w:t>
      </w:r>
      <w:r w:rsidR="00AB4F11"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14.1 La Comisión Permanente Electoral del (Centro o escuela) tiene las atribuciones que le confieren la normatividad universitaria y esta convocatoria.</w:t>
      </w:r>
    </w:p>
    <w:p w:rsidR="00867F58" w:rsidRPr="00867F58" w:rsidRDefault="00867F58" w:rsidP="00867F58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867F58" w:rsidRDefault="00AB4F11" w:rsidP="00867F58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14.2. Es responsable de supervisar las diversas etapas que comprende el proceso electoral para la integración del H. Consejo Universitario de (Consejo de Centro, Consejos Divisionales y de Educación Media Superior y los Consejos de Escuela), tales etapas son: </w:t>
      </w:r>
    </w:p>
    <w:p w:rsidR="00AB4F11" w:rsidRPr="00867F58" w:rsidRDefault="00AB4F11" w:rsidP="00867F58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A824C7" w:rsidRDefault="00AB4F11" w:rsidP="00A824C7">
      <w:pPr>
        <w:pStyle w:val="Prrafodelista"/>
        <w:numPr>
          <w:ilvl w:val="0"/>
          <w:numId w:val="35"/>
        </w:numPr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etapa preparatoria del proceso electoral, consistente en la integración de los padrones de elegibles y de electores por dependencia, y el registro de candidatos a consejeros académicos y alumnos, según corresponda; </w:t>
      </w:r>
    </w:p>
    <w:p w:rsidR="00AB4F11" w:rsidRPr="00A824C7" w:rsidRDefault="00AB4F11" w:rsidP="00A824C7">
      <w:pPr>
        <w:pStyle w:val="Prrafodelista"/>
        <w:numPr>
          <w:ilvl w:val="0"/>
          <w:numId w:val="35"/>
        </w:numPr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celebración de la jornada electoral, la preparación de la documentación y materiales electorales, así como el óptimo funcionamiento del sistema de votación, y </w:t>
      </w:r>
    </w:p>
    <w:p w:rsidR="00AB4F11" w:rsidRPr="00A824C7" w:rsidRDefault="00AB4F11" w:rsidP="00A824C7">
      <w:pPr>
        <w:pStyle w:val="Prrafodelista"/>
        <w:numPr>
          <w:ilvl w:val="0"/>
          <w:numId w:val="35"/>
        </w:numPr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calificación del proceso electoral, la elaboración de las actas y la declaratoria de los candidatos por planillas que obtuvieron mayoría en las respectivas dependencias</w:t>
      </w:r>
      <w:r w:rsid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”</w:t>
      </w:r>
    </w:p>
    <w:p w:rsidR="00AB4F11" w:rsidRPr="00A824C7" w:rsidRDefault="00AB4F11" w:rsidP="00A824C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A824C7" w:rsidRDefault="00AB4F11" w:rsidP="00A824C7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tomando en consideración los requisitos, plazos, días y horarios hábiles para interponer los recursos en materia electoral, resulta procedente la admisión del recurso interpuesto por </w:t>
      </w:r>
      <w:r w:rsidR="00A824C7"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(académico o alumno) </w:t>
      </w:r>
      <w:r w:rsidR="00A824C7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---</w:t>
      </w: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por haber sido presentado e</w:t>
      </w:r>
      <w:r w:rsid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 los términos señalados en la c</w:t>
      </w: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onvocatoria que rige el presente proceso electoral, tal y como se advierte en el punto 12.2.</w:t>
      </w:r>
    </w:p>
    <w:p w:rsidR="00AB4F11" w:rsidRPr="00770C58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4517"/>
      </w:tblGrid>
      <w:tr w:rsidR="00AB4F11" w:rsidRPr="00B61AEE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shd w:val="clear" w:color="auto" w:fill="FFFF00"/>
                <w:lang w:eastAsia="es-MX"/>
              </w:rPr>
              <w:t>SI NO SE PRESENTÓ EN TIEMPO Y FORMA</w:t>
            </w:r>
          </w:p>
        </w:tc>
      </w:tr>
      <w:tr w:rsidR="00AB4F11" w:rsidRPr="00B61AEE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824C7" w:rsidP="00A8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Que esta Comisión Electoral de ------, desecha de plano el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Pr="0086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presentado por el (académico o alumno) C. ----------------------, a las --:-- horas del -- de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shd w:val="clear" w:color="auto" w:fill="FFFF00"/>
                <w:lang w:eastAsia="es-MX"/>
              </w:rPr>
              <w:t>---------------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de 2021, por haberlo presentado fuera del término establecido en la convocatoria, por lo tanto no procede entrar al estudio del mismo.</w:t>
            </w:r>
          </w:p>
        </w:tc>
      </w:tr>
      <w:tr w:rsidR="00AB4F11" w:rsidRPr="00B61AEE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shd w:val="clear" w:color="auto" w:fill="FFFF00"/>
                <w:lang w:eastAsia="es-MX"/>
              </w:rPr>
              <w:t>SI SE PRESENTÓ EN TIEMPO Y FORMA</w:t>
            </w:r>
          </w:p>
        </w:tc>
      </w:tr>
      <w:tr w:rsidR="00AB4F11" w:rsidRPr="00B61AEE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824C7" w:rsidP="0010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esta Comisión Electoral de --------, admite el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Pr="0086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presentado por el </w:t>
            </w:r>
            <w:r w:rsidR="00AB4F11" w:rsidRPr="00B61AEE">
              <w:rPr>
                <w:rFonts w:ascii="Arial" w:eastAsia="Times New Roman" w:hAnsi="Arial" w:cs="Arial"/>
                <w:color w:val="180DF1"/>
                <w:sz w:val="18"/>
                <w:szCs w:val="18"/>
                <w:lang w:eastAsia="es-MX"/>
              </w:rPr>
              <w:t xml:space="preserve">(académico o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alumno)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C. ----------------------,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las </w:t>
            </w:r>
            <w:proofErr w:type="gramStart"/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--:--</w:t>
            </w:r>
            <w:proofErr w:type="gramEnd"/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horas del -- de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eastAsia="es-MX"/>
              </w:rPr>
              <w:t>-----------------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2021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haberlo presentado en tiempo y forma.</w:t>
            </w:r>
          </w:p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B4F11" w:rsidRPr="00B61AEE" w:rsidRDefault="00A824C7" w:rsidP="0010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hechos denunciados por el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C.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(académico o alumno)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refiere a que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</w:t>
            </w:r>
            <w:r w:rsidR="00AB4F11" w:rsidRPr="00B61AEE">
              <w:rPr>
                <w:rFonts w:ascii="Arial" w:eastAsia="Times New Roman" w:hAnsi="Arial" w:cs="Arial"/>
                <w:color w:val="0432FF"/>
                <w:sz w:val="18"/>
                <w:szCs w:val="18"/>
                <w:lang w:eastAsia="es-MX"/>
              </w:rPr>
              <w:t>transcribir</w:t>
            </w:r>
            <w:r w:rsidR="00AB4F11" w:rsidRPr="00B61AE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nuevamente los hechos encuadrándolos en los puntos de la convocatoria o en la normatividad universitaria).</w:t>
            </w:r>
          </w:p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B4F11" w:rsidRPr="00B61AEE" w:rsidRDefault="00A824C7" w:rsidP="0010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respecto a las pruebas que ofrece, consistentes en un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esta Comisión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concede o no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shd w:val="clear" w:color="auto" w:fill="FFFF00"/>
                <w:lang w:eastAsia="es-MX"/>
              </w:rPr>
              <w:t>(según sea el caso)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valor probatorio alguno a dicho documento, toda vez que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B4F11" w:rsidRPr="00B61AEE" w:rsidRDefault="00A824C7" w:rsidP="00A8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8.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en cuanto a la copia simple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de igual forma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(se concede o no)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valor probatorio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alguno, toda vez que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---------------.</w:t>
            </w:r>
          </w:p>
        </w:tc>
      </w:tr>
      <w:tr w:rsidR="00AB4F11" w:rsidRPr="00B61AEE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PROCEDENTE: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IMPROCEDENTE:</w:t>
            </w:r>
          </w:p>
        </w:tc>
      </w:tr>
      <w:tr w:rsidR="00AB4F11" w:rsidRPr="00B61AEE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824C7" w:rsidP="001071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9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en consecuencia, resulta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procedente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Pr="0086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interpuesto por el C.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con base en los considerandos antes citados.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824C7" w:rsidP="001071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9</w:t>
            </w:r>
            <w:r w:rsidR="00AB4F11" w:rsidRPr="00A824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  <w:r w:rsidR="00AB4F11" w:rsidRPr="00A824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en consecuencia, resulta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improcedente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Pr="0086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interpuesto por el C. </w:t>
            </w:r>
            <w:r w:rsidR="00AB4F11"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</w:t>
            </w:r>
            <w:r w:rsidR="00AB4F11"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con base en los considerandos antes citados.</w:t>
            </w:r>
          </w:p>
        </w:tc>
      </w:tr>
    </w:tbl>
    <w:p w:rsidR="00A824C7" w:rsidRPr="00A824C7" w:rsidRDefault="00A824C7" w:rsidP="00A824C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Default="00AB4F11" w:rsidP="00A824C7">
      <w:pPr>
        <w:pStyle w:val="Prrafodelista"/>
        <w:numPr>
          <w:ilvl w:val="0"/>
          <w:numId w:val="39"/>
        </w:numPr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Que </w:t>
      </w:r>
      <w:r w:rsidR="00A824C7"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una vez analizado los elementos</w:t>
      </w: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que integran el expediente, relativo al asunto que nos ocupa, esta Comisión considera que todo lo actuado ha sido apegado a la normativa universitaria y a lo establecido en la convocatoria respectiva.</w:t>
      </w:r>
    </w:p>
    <w:p w:rsidR="00A824C7" w:rsidRPr="00A824C7" w:rsidRDefault="00A824C7" w:rsidP="00A824C7">
      <w:pPr>
        <w:pStyle w:val="Prrafodelista"/>
        <w:spacing w:before="240" w:after="24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Default="00AB4F11" w:rsidP="00A824C7">
      <w:pPr>
        <w:pStyle w:val="Prrafodelista"/>
        <w:numPr>
          <w:ilvl w:val="0"/>
          <w:numId w:val="39"/>
        </w:numPr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esta Comisión determina que en todo momento se garantizó la libre participación de aquellos (alumnos o académicos) que tuvieron el interés de contender en el presente proceso electoral.  </w:t>
      </w:r>
    </w:p>
    <w:p w:rsidR="00A824C7" w:rsidRPr="00A824C7" w:rsidRDefault="00A824C7" w:rsidP="00A824C7">
      <w:pPr>
        <w:pStyle w:val="Prrafodelista"/>
        <w:spacing w:before="240" w:after="24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Default="00AB4F11" w:rsidP="00A824C7">
      <w:pPr>
        <w:pStyle w:val="Prrafodelista"/>
        <w:numPr>
          <w:ilvl w:val="0"/>
          <w:numId w:val="39"/>
        </w:numPr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Exposición del conflicto señalando circunstancias de modo, tiempo y lugar (analizar si los hechos violentan lo señalado en la convocatoria, debiendo analizar y valorar las pruebas ofrecidas.</w:t>
      </w:r>
    </w:p>
    <w:p w:rsidR="00A824C7" w:rsidRPr="00A824C7" w:rsidRDefault="00A824C7" w:rsidP="00A824C7">
      <w:pPr>
        <w:pStyle w:val="Prrafodelista"/>
        <w:spacing w:before="240" w:after="24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A824C7" w:rsidRDefault="00AB4F11" w:rsidP="00A824C7">
      <w:pPr>
        <w:pStyle w:val="Prrafodelista"/>
        <w:numPr>
          <w:ilvl w:val="0"/>
          <w:numId w:val="39"/>
        </w:numPr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Conclusión, Ejemplo: Que esta Comisión considera que en ningún momento se vulneraron los derechos electorales del recurrente (estudiante o académico), pues se actuó en todo momento respetando lo</w:t>
      </w:r>
      <w:r w:rsidR="00A824C7"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establecido previamente en la c</w:t>
      </w: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onvocatoria emitida por el Consejo General Universitario para el periodo 2020 – 2021, atendiendo las medidas sanitarias impuestas para salvaguardar la integridad de los mi</w:t>
      </w:r>
      <w:r w:rsidR="00A824C7"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embros de la red universitaria.</w:t>
      </w:r>
    </w:p>
    <w:p w:rsidR="00AB4F11" w:rsidRPr="00B61AEE" w:rsidRDefault="00AB4F11" w:rsidP="00AB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Por lo anterior, y con fundamento en las atribuciones que le confiere tanto la convocatoria, como la normatividad universitaria, esta Comisión:</w:t>
      </w:r>
    </w:p>
    <w:p w:rsidR="00AB4F11" w:rsidRPr="00770C58" w:rsidRDefault="00AB4F11" w:rsidP="00AB4F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770C58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770C5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RESUELVE</w:t>
      </w:r>
    </w:p>
    <w:p w:rsidR="00AB4F11" w:rsidRPr="00770C58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AB4F11" w:rsidRPr="00770C58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770C58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shd w:val="clear" w:color="auto" w:fill="FFFF00"/>
          <w:lang w:eastAsia="es-MX"/>
        </w:rPr>
        <w:t>SI NO SE PRESENTÓ EN TIEMPO Y FORMA</w:t>
      </w:r>
    </w:p>
    <w:p w:rsidR="00AB4F11" w:rsidRPr="00770C58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AB4F11" w:rsidRPr="00B61AEE" w:rsidRDefault="00AB4F11" w:rsidP="00AB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PRIMERO.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Se tiene por presentado el </w:t>
      </w:r>
      <w:r w:rsidR="00A824C7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Recurso d</w:t>
      </w:r>
      <w:r w:rsidR="00A824C7" w:rsidRPr="00867F5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e Revisión</w:t>
      </w:r>
      <w:r w:rsidR="00A824C7" w:rsidRPr="00867F5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en Primera/Segunda Instancia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del </w:t>
      </w:r>
      <w:r w:rsidR="00A824C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(académico o alumno)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adscrito a la 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---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según sea el caso---</w:t>
      </w: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 </w:t>
      </w:r>
      <w:r w:rsid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esta Casa de Estudio.</w:t>
      </w:r>
    </w:p>
    <w:p w:rsidR="00AB4F11" w:rsidRPr="00A824C7" w:rsidRDefault="00AB4F11" w:rsidP="00AB4F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A824C7" w:rsidRDefault="00AB4F11" w:rsidP="00AB4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824C7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SEGUNDO</w:t>
      </w: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. Esta Comisión declara (IMPROCEDENTE) el Recurso de Revisión de _______________________, </w:t>
      </w:r>
      <w:r w:rsidR="00A824C7" w:rsidRPr="00A824C7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(académico o alumno), </w:t>
      </w:r>
      <w:r w:rsidRPr="00A824C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señalar adscripción, con base en las consideraciones vertidas en el presente. </w:t>
      </w:r>
    </w:p>
    <w:p w:rsidR="00AB4F11" w:rsidRPr="00A824C7" w:rsidRDefault="00AB4F11" w:rsidP="00AB4F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B61AEE" w:rsidRDefault="00AB4F11" w:rsidP="00AB4F11">
      <w:pPr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24C7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TERCERO</w:t>
      </w:r>
      <w:r w:rsidR="00A824C7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.</w:t>
      </w:r>
      <w:r w:rsidRPr="00A824C7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Notifíquese la presente resolución </w:t>
      </w:r>
      <w:r w:rsidR="00A824C7"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al </w:t>
      </w:r>
      <w:r w:rsidR="00A824C7"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C. ------------</w:t>
      </w:r>
      <w:r w:rsidR="00A824C7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 </w:t>
      </w:r>
      <w:r w:rsidR="00A824C7" w:rsidRPr="00A824C7">
        <w:rPr>
          <w:rFonts w:ascii="Arial" w:eastAsia="Times New Roman" w:hAnsi="Arial" w:cs="Arial"/>
          <w:bCs/>
          <w:sz w:val="18"/>
          <w:szCs w:val="18"/>
          <w:lang w:eastAsia="es-MX"/>
        </w:rPr>
        <w:t>y</w:t>
      </w:r>
      <w:r w:rsidR="00A824C7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 </w:t>
      </w: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 </w:t>
      </w:r>
      <w:r w:rsidRPr="00B61AEE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---señalar las autori</w:t>
      </w:r>
      <w:r w:rsidR="00A824C7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dades o instancias involucradas.</w:t>
      </w:r>
    </w:p>
    <w:p w:rsidR="00AB4F11" w:rsidRPr="00A824C7" w:rsidRDefault="00AB4F11" w:rsidP="00AB4F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B4F11" w:rsidRPr="00B61AEE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shd w:val="clear" w:color="auto" w:fill="FFFF00"/>
          <w:lang w:eastAsia="es-MX"/>
        </w:rPr>
        <w:t>SI SE PRESENTÓ EN TIEMPO Y FORMA</w:t>
      </w:r>
    </w:p>
    <w:p w:rsidR="00AB4F11" w:rsidRPr="00A824C7" w:rsidRDefault="00AB4F11" w:rsidP="00AB4F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22"/>
        <w:gridCol w:w="4403"/>
      </w:tblGrid>
      <w:tr w:rsidR="00AB4F11" w:rsidRPr="00B61AEE" w:rsidTr="0010719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770C58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s-MX"/>
              </w:rPr>
              <w:t>OPCIONES</w:t>
            </w:r>
          </w:p>
        </w:tc>
      </w:tr>
      <w:tr w:rsidR="00AB4F11" w:rsidRPr="00B61AEE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PROCEDENTE: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IMPROCEDENTE:</w:t>
            </w:r>
          </w:p>
        </w:tc>
      </w:tr>
      <w:tr w:rsidR="00AB4F11" w:rsidRPr="00B61AEE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A8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PRIMERO.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tiene por presentado el </w:t>
            </w:r>
            <w:r w:rsidR="00A824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="00A824C7"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(académico o alumno)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adscrito a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mismo que se admite por encontrarse ajustado a la norma universitaria.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A824C7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PRIMERO.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tiene por presentado el </w:t>
            </w:r>
            <w:r w:rsidR="00A824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="00A824C7"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(académico o alumno)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adscrito a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mismo que se admite por encontrarse ajustado a la norma universitaria.</w:t>
            </w:r>
          </w:p>
        </w:tc>
      </w:tr>
      <w:tr w:rsidR="00AB4F11" w:rsidRPr="00B61AEE" w:rsidTr="00A824C7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A824C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SEGUNDO.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 Comisión declara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PROCEDENTE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A824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="00A824C7"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="00A824C7" w:rsidRPr="0086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----------------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(académico o alumno)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adscrito a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en virtud de las consideraciones vertidas en el presente.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A824C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SEGUNDO.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 Comisión declara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IMPROCEDENTE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</w:t>
            </w:r>
            <w:r w:rsidR="00A824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</w:t>
            </w:r>
            <w:r w:rsidR="00A824C7" w:rsidRPr="00867F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 Revisión</w:t>
            </w:r>
            <w:r w:rsidR="00A824C7" w:rsidRPr="0086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----------------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(académico o alumno)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adscrito a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en virtud de las consideraciones vertidas en el presente.</w:t>
            </w:r>
          </w:p>
        </w:tc>
      </w:tr>
      <w:tr w:rsidR="00AB4F11" w:rsidRPr="00B61AEE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A824C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TERCERO.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(señalar lo conducente/ lo que se resuelve en cada caso particular)</w:t>
            </w:r>
            <w:r w:rsidRPr="00B61AE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A824C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TERCERO.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ratifica 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shd w:val="clear" w:color="auto" w:fill="FFFF00"/>
                <w:lang w:eastAsia="es-MX"/>
              </w:rPr>
              <w:t>(acuerdo, acta, el resultado, etc.)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 </w:t>
            </w:r>
            <w:r w:rsidRPr="00B61AEE">
              <w:rPr>
                <w:rFonts w:ascii="Arial" w:eastAsia="Times New Roman" w:hAnsi="Arial" w:cs="Arial"/>
                <w:color w:val="180DF1"/>
                <w:sz w:val="18"/>
                <w:szCs w:val="18"/>
                <w:lang w:eastAsia="es-MX"/>
              </w:rPr>
              <w:t xml:space="preserve">Subcomisión o Comisión --–según corresponda----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fecha -- de</w:t>
            </w:r>
            <w:r w:rsidRPr="00B61AE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B61AEE">
              <w:rPr>
                <w:rFonts w:ascii="Arial" w:eastAsia="Times New Roman" w:hAnsi="Arial" w:cs="Arial"/>
                <w:color w:val="0432FF"/>
                <w:sz w:val="18"/>
                <w:szCs w:val="18"/>
                <w:lang w:eastAsia="es-MX"/>
              </w:rPr>
              <w:t>--------</w:t>
            </w:r>
            <w:r w:rsidRPr="00B61AE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proofErr w:type="spellEnd"/>
            <w:r w:rsidRPr="00B61AE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A82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2021.</w:t>
            </w:r>
          </w:p>
        </w:tc>
      </w:tr>
      <w:tr w:rsidR="00AB4F11" w:rsidRPr="00B61AEE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770C5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CUARTO. 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Notifíquese la presente resolución a</w:t>
            </w:r>
            <w:r w:rsidR="00770C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 C. ----y a </w:t>
            </w:r>
            <w:r w:rsidRPr="00B61AEE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señalar a los involucrados o a quienes afecta la resolución de la Comisión.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11" w:rsidRPr="00B61AEE" w:rsidRDefault="00AB4F11" w:rsidP="00770C5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1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CUARTO.</w:t>
            </w:r>
            <w:r w:rsidRPr="00B61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Notifíquese la presente resolución a</w:t>
            </w:r>
            <w:r w:rsidR="00770C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C. ----</w:t>
            </w:r>
            <w:r w:rsidRPr="00B61AEE">
              <w:rPr>
                <w:rFonts w:ascii="Arial" w:eastAsia="Times New Roman" w:hAnsi="Arial" w:cs="Arial"/>
                <w:color w:val="0432FF"/>
                <w:sz w:val="18"/>
                <w:szCs w:val="18"/>
                <w:lang w:eastAsia="es-MX"/>
              </w:rPr>
              <w:t>---</w:t>
            </w:r>
            <w:r w:rsidR="00770C58">
              <w:rPr>
                <w:rFonts w:ascii="Arial" w:eastAsia="Times New Roman" w:hAnsi="Arial" w:cs="Arial"/>
                <w:color w:val="0432FF"/>
                <w:sz w:val="18"/>
                <w:szCs w:val="18"/>
                <w:lang w:eastAsia="es-MX"/>
              </w:rPr>
              <w:t xml:space="preserve"> y a </w:t>
            </w:r>
            <w:bookmarkStart w:id="0" w:name="_GoBack"/>
            <w:bookmarkEnd w:id="0"/>
            <w:r w:rsidRPr="00B61AEE">
              <w:rPr>
                <w:rFonts w:ascii="Arial" w:eastAsia="Times New Roman" w:hAnsi="Arial" w:cs="Arial"/>
                <w:color w:val="0432FF"/>
                <w:sz w:val="18"/>
                <w:szCs w:val="18"/>
                <w:lang w:eastAsia="es-MX"/>
              </w:rPr>
              <w:t>señalar a los involucrados o a quienes afecta la resolución de la Comisión.</w:t>
            </w:r>
          </w:p>
        </w:tc>
      </w:tr>
    </w:tbl>
    <w:p w:rsidR="00AB4F11" w:rsidRPr="00B61AEE" w:rsidRDefault="00AB4F11" w:rsidP="00AB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B4F11" w:rsidRPr="00B61AEE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 t e n t a m e n t e</w:t>
      </w:r>
    </w:p>
    <w:p w:rsidR="00AB4F11" w:rsidRPr="00B61AEE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“PIENSA Y TRABAJA”</w:t>
      </w:r>
    </w:p>
    <w:p w:rsidR="00AB4F11" w:rsidRPr="00B61AEE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“Año del legado de Fray Antonio Alcalde en Guadalajara”</w:t>
      </w:r>
    </w:p>
    <w:p w:rsidR="00AB4F11" w:rsidRPr="00B61AEE" w:rsidRDefault="00AB4F11" w:rsidP="00AB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Guadalajara, Jal., --- de ------- de 2021</w:t>
      </w:r>
    </w:p>
    <w:p w:rsidR="002A2963" w:rsidRPr="00867F58" w:rsidRDefault="00AB4F11" w:rsidP="0086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1AE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Comisión Electoral del H. Consejo ------------</w:t>
      </w:r>
    </w:p>
    <w:sectPr w:rsidR="002A2963" w:rsidRPr="00867F58">
      <w:headerReference w:type="default" r:id="rId8"/>
      <w:pgSz w:w="12240" w:h="15840"/>
      <w:pgMar w:top="2269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15" w:rsidRDefault="00FA1515">
      <w:pPr>
        <w:spacing w:after="0" w:line="240" w:lineRule="auto"/>
      </w:pPr>
      <w:r>
        <w:separator/>
      </w:r>
    </w:p>
  </w:endnote>
  <w:endnote w:type="continuationSeparator" w:id="0">
    <w:p w:rsidR="00FA1515" w:rsidRDefault="00FA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15" w:rsidRDefault="00FA1515">
      <w:pPr>
        <w:spacing w:after="0" w:line="240" w:lineRule="auto"/>
      </w:pPr>
      <w:r>
        <w:separator/>
      </w:r>
    </w:p>
  </w:footnote>
  <w:footnote w:type="continuationSeparator" w:id="0">
    <w:p w:rsidR="00FA1515" w:rsidRDefault="00FA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63" w:rsidRDefault="00FA15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2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-517490</wp:posOffset>
          </wp:positionH>
          <wp:positionV relativeFrom="paragraph">
            <wp:posOffset>-136293</wp:posOffset>
          </wp:positionV>
          <wp:extent cx="6400800" cy="1123950"/>
          <wp:effectExtent l="0" t="0" r="0" b="0"/>
          <wp:wrapSquare wrapText="bothSides" distT="0" distB="0" distL="114300" distR="114300"/>
          <wp:docPr id="2" name="image1.jpg" descr="C:\Users\Hugo Woo\Desktop\2021 FORMATOS ELECCIONES\2021FORMATOS WORD MEMBRETE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go Woo\Desktop\2021 FORMATOS ELECCIONES\2021FORMATOS WORD MEMBRETE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A10"/>
    <w:multiLevelType w:val="hybridMultilevel"/>
    <w:tmpl w:val="8FD0C2C8"/>
    <w:lvl w:ilvl="0" w:tplc="87462FC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580C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32C6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C2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E4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4A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4C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01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EB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6305"/>
    <w:multiLevelType w:val="hybridMultilevel"/>
    <w:tmpl w:val="F52AD716"/>
    <w:lvl w:ilvl="0" w:tplc="F5E6140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56A6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45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E3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2A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CA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E6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8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2F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C293F"/>
    <w:multiLevelType w:val="multilevel"/>
    <w:tmpl w:val="0436F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E0D66"/>
    <w:multiLevelType w:val="multilevel"/>
    <w:tmpl w:val="A24228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313C3"/>
    <w:multiLevelType w:val="hybridMultilevel"/>
    <w:tmpl w:val="A4EC935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443236"/>
    <w:multiLevelType w:val="hybridMultilevel"/>
    <w:tmpl w:val="E54887BA"/>
    <w:lvl w:ilvl="0" w:tplc="5F802B6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ACD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D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86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C2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7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E0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8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2B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85EFB"/>
    <w:multiLevelType w:val="hybridMultilevel"/>
    <w:tmpl w:val="163C55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1F9B"/>
    <w:multiLevelType w:val="hybridMultilevel"/>
    <w:tmpl w:val="83C6C698"/>
    <w:lvl w:ilvl="0" w:tplc="6322745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3AB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C9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A9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A1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20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8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84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A2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F1483"/>
    <w:multiLevelType w:val="multilevel"/>
    <w:tmpl w:val="10DA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31699"/>
    <w:multiLevelType w:val="multilevel"/>
    <w:tmpl w:val="35D24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84F48"/>
    <w:multiLevelType w:val="multilevel"/>
    <w:tmpl w:val="A242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02141"/>
    <w:multiLevelType w:val="hybridMultilevel"/>
    <w:tmpl w:val="CDB07E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36695"/>
    <w:multiLevelType w:val="multilevel"/>
    <w:tmpl w:val="664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51976"/>
    <w:multiLevelType w:val="hybridMultilevel"/>
    <w:tmpl w:val="E8E63FDA"/>
    <w:lvl w:ilvl="0" w:tplc="E670E37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3AD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EA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E2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A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84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3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E526A"/>
    <w:multiLevelType w:val="multilevel"/>
    <w:tmpl w:val="05C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24A23"/>
    <w:multiLevelType w:val="hybridMultilevel"/>
    <w:tmpl w:val="B6044E40"/>
    <w:lvl w:ilvl="0" w:tplc="60E2210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6AF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4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2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CC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EC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40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7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04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D7428"/>
    <w:multiLevelType w:val="multilevel"/>
    <w:tmpl w:val="0742C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757C"/>
    <w:multiLevelType w:val="multilevel"/>
    <w:tmpl w:val="EECEE8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1C00E1"/>
    <w:multiLevelType w:val="hybridMultilevel"/>
    <w:tmpl w:val="B0308DB8"/>
    <w:lvl w:ilvl="0" w:tplc="31747C36">
      <w:start w:val="1"/>
      <w:numFmt w:val="upperRoman"/>
      <w:lvlText w:val="%1."/>
      <w:lvlJc w:val="left"/>
      <w:pPr>
        <w:ind w:left="1280" w:hanging="72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2C1C75ED"/>
    <w:multiLevelType w:val="hybridMultilevel"/>
    <w:tmpl w:val="C80049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4B5"/>
    <w:multiLevelType w:val="multilevel"/>
    <w:tmpl w:val="37680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97C36"/>
    <w:multiLevelType w:val="hybridMultilevel"/>
    <w:tmpl w:val="59DCA2F4"/>
    <w:lvl w:ilvl="0" w:tplc="FA424E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C558C"/>
    <w:multiLevelType w:val="hybridMultilevel"/>
    <w:tmpl w:val="36B295CA"/>
    <w:lvl w:ilvl="0" w:tplc="00A4F64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122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C0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CB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6C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00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69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AE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7910A4"/>
    <w:multiLevelType w:val="hybridMultilevel"/>
    <w:tmpl w:val="4B8499A2"/>
    <w:lvl w:ilvl="0" w:tplc="914EC5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6B38"/>
    <w:multiLevelType w:val="multilevel"/>
    <w:tmpl w:val="2FB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01435"/>
    <w:multiLevelType w:val="multilevel"/>
    <w:tmpl w:val="DB4C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912B2"/>
    <w:multiLevelType w:val="hybridMultilevel"/>
    <w:tmpl w:val="26365F12"/>
    <w:lvl w:ilvl="0" w:tplc="C628842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8B2F78"/>
    <w:multiLevelType w:val="multilevel"/>
    <w:tmpl w:val="A16C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D7FEC"/>
    <w:multiLevelType w:val="hybridMultilevel"/>
    <w:tmpl w:val="84CADBEA"/>
    <w:lvl w:ilvl="0" w:tplc="9E0828A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248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9CC9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AF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6B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A9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CB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4D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B2AD9"/>
    <w:multiLevelType w:val="hybridMultilevel"/>
    <w:tmpl w:val="FAC8914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CC3905"/>
    <w:multiLevelType w:val="hybridMultilevel"/>
    <w:tmpl w:val="7C4CD04C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6758F7"/>
    <w:multiLevelType w:val="hybridMultilevel"/>
    <w:tmpl w:val="9F8405F8"/>
    <w:lvl w:ilvl="0" w:tplc="7018A0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C0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4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9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09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66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E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E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AD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D1B93"/>
    <w:multiLevelType w:val="multilevel"/>
    <w:tmpl w:val="0568C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E5410"/>
    <w:multiLevelType w:val="hybridMultilevel"/>
    <w:tmpl w:val="5EFAFC2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C6DC2"/>
    <w:multiLevelType w:val="multilevel"/>
    <w:tmpl w:val="D5722B2A"/>
    <w:lvl w:ilvl="0">
      <w:start w:val="1"/>
      <w:numFmt w:val="upperRoman"/>
      <w:lvlText w:val="%1."/>
      <w:lvlJc w:val="right"/>
      <w:pPr>
        <w:ind w:left="1080" w:hanging="720"/>
      </w:pPr>
      <w:rPr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749BF"/>
    <w:multiLevelType w:val="hybridMultilevel"/>
    <w:tmpl w:val="E4D2047A"/>
    <w:lvl w:ilvl="0" w:tplc="FFBC701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D6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86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CD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3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6C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C1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A4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E1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B80B5A"/>
    <w:multiLevelType w:val="hybridMultilevel"/>
    <w:tmpl w:val="6F22CF38"/>
    <w:lvl w:ilvl="0" w:tplc="5546F86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389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A0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A7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43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8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D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E2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EE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11965"/>
    <w:multiLevelType w:val="hybridMultilevel"/>
    <w:tmpl w:val="D980A7F0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F77442"/>
    <w:multiLevelType w:val="hybridMultilevel"/>
    <w:tmpl w:val="9C5E6A3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7"/>
  </w:num>
  <w:num w:numId="3">
    <w:abstractNumId w:val="26"/>
  </w:num>
  <w:num w:numId="4">
    <w:abstractNumId w:val="18"/>
  </w:num>
  <w:num w:numId="5">
    <w:abstractNumId w:val="14"/>
    <w:lvlOverride w:ilvl="0">
      <w:lvl w:ilvl="0">
        <w:numFmt w:val="upperRoman"/>
        <w:lvlText w:val="%1."/>
        <w:lvlJc w:val="right"/>
      </w:lvl>
    </w:lvlOverride>
  </w:num>
  <w:num w:numId="6">
    <w:abstractNumId w:val="31"/>
  </w:num>
  <w:num w:numId="7">
    <w:abstractNumId w:val="22"/>
  </w:num>
  <w:num w:numId="8">
    <w:abstractNumId w:val="13"/>
  </w:num>
  <w:num w:numId="9">
    <w:abstractNumId w:val="5"/>
  </w:num>
  <w:num w:numId="10">
    <w:abstractNumId w:val="28"/>
  </w:num>
  <w:num w:numId="11">
    <w:abstractNumId w:val="8"/>
    <w:lvlOverride w:ilvl="0">
      <w:lvl w:ilvl="0">
        <w:numFmt w:val="lowerLetter"/>
        <w:lvlText w:val="%1."/>
        <w:lvlJc w:val="left"/>
        <w:rPr>
          <w:b/>
          <w:color w:val="auto"/>
        </w:rPr>
      </w:lvl>
    </w:lvlOverride>
  </w:num>
  <w:num w:numId="12">
    <w:abstractNumId w:val="24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30"/>
  </w:num>
  <w:num w:numId="18">
    <w:abstractNumId w:val="37"/>
  </w:num>
  <w:num w:numId="19">
    <w:abstractNumId w:val="11"/>
  </w:num>
  <w:num w:numId="20">
    <w:abstractNumId w:val="38"/>
  </w:num>
  <w:num w:numId="21">
    <w:abstractNumId w:val="21"/>
  </w:num>
  <w:num w:numId="22">
    <w:abstractNumId w:val="25"/>
    <w:lvlOverride w:ilvl="0">
      <w:lvl w:ilvl="0">
        <w:numFmt w:val="upperRoman"/>
        <w:lvlText w:val="%1."/>
        <w:lvlJc w:val="right"/>
      </w:lvl>
    </w:lvlOverride>
  </w:num>
  <w:num w:numId="23">
    <w:abstractNumId w:val="1"/>
  </w:num>
  <w:num w:numId="24">
    <w:abstractNumId w:val="15"/>
  </w:num>
  <w:num w:numId="25">
    <w:abstractNumId w:val="7"/>
  </w:num>
  <w:num w:numId="26">
    <w:abstractNumId w:val="35"/>
  </w:num>
  <w:num w:numId="27">
    <w:abstractNumId w:val="36"/>
  </w:num>
  <w:num w:numId="28">
    <w:abstractNumId w:val="0"/>
  </w:num>
  <w:num w:numId="29">
    <w:abstractNumId w:val="27"/>
    <w:lvlOverride w:ilvl="0">
      <w:lvl w:ilvl="0">
        <w:numFmt w:val="lowerLetter"/>
        <w:lvlText w:val="%1."/>
        <w:lvlJc w:val="left"/>
        <w:rPr>
          <w:b/>
          <w:color w:val="auto"/>
        </w:rPr>
      </w:lvl>
    </w:lvlOverride>
  </w:num>
  <w:num w:numId="30">
    <w:abstractNumId w:val="12"/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16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4"/>
  </w:num>
  <w:num w:numId="35">
    <w:abstractNumId w:val="29"/>
  </w:num>
  <w:num w:numId="36">
    <w:abstractNumId w:val="33"/>
  </w:num>
  <w:num w:numId="37">
    <w:abstractNumId w:val="19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3"/>
    <w:rsid w:val="000A1552"/>
    <w:rsid w:val="002A2963"/>
    <w:rsid w:val="00571240"/>
    <w:rsid w:val="005A7884"/>
    <w:rsid w:val="00770C58"/>
    <w:rsid w:val="008059AD"/>
    <w:rsid w:val="00867F58"/>
    <w:rsid w:val="00872607"/>
    <w:rsid w:val="009868F6"/>
    <w:rsid w:val="00A12952"/>
    <w:rsid w:val="00A36FDC"/>
    <w:rsid w:val="00A824C7"/>
    <w:rsid w:val="00AB4B05"/>
    <w:rsid w:val="00AB4F11"/>
    <w:rsid w:val="00B42728"/>
    <w:rsid w:val="00D2659B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B1AD"/>
  <w15:docId w15:val="{89ACEB50-A900-42E5-BDBE-7865DB0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76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77766"/>
    <w:rPr>
      <w:rFonts w:cs="Times New Roman"/>
      <w:color w:val="0000FF"/>
      <w:u w:val="single"/>
    </w:rPr>
  </w:style>
  <w:style w:type="paragraph" w:customStyle="1" w:styleId="Default">
    <w:name w:val="Default"/>
    <w:rsid w:val="004777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QX649ukbAI3T905XghdvZNPwQ==">AMUW2mUWOQ7IZxzFdqXZHRoECy0HmgNRvDF7AGjqKiNACfnK9IxuDOF5mNape2eXyLFLXXsgStQNDPRKKcCW/M4aCZRt+0vv+zGyzGLG/qEg04QHBU42oolOESuIEJeYHMta8dLROL9/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3</cp:revision>
  <dcterms:created xsi:type="dcterms:W3CDTF">2021-09-23T16:41:00Z</dcterms:created>
  <dcterms:modified xsi:type="dcterms:W3CDTF">2021-09-23T17:03:00Z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